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February 2026 ENROLLMENT</w:t>
      </w:r>
    </w:p>
    <w:p w:rsidR="00000000" w:rsidDel="00000000" w:rsidP="00000000" w:rsidRDefault="00000000" w:rsidRPr="00000000" w14:paraId="00000008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Meeting on February 17, 2026</w:t>
      </w:r>
    </w:p>
    <w:p w:rsidR="00000000" w:rsidDel="00000000" w:rsidP="00000000" w:rsidRDefault="00000000" w:rsidRPr="00000000" w14:paraId="0000000B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Discuss February 2026 Enrollment for CES, CMHS, &amp; CVA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Review enrollment for February 2026; Overall enrollment is  up from last school year. Two students return to CMHS from CVA; one student from CES to CVA; one student from CMHS to another charter</w:t>
      </w:r>
    </w:p>
    <w:p w:rsidR="00000000" w:rsidDel="00000000" w:rsidP="00000000" w:rsidRDefault="00000000" w:rsidRPr="00000000" w14:paraId="00000014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DOCUMENT(S):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Enrollment spreadsheet</w:t>
        <w:tab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1F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bCs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tbIH3RX2B6EMYjzSOzTrQxPl8w==">CgMxLjA4AHIhMVhielFQMV9Bc2IxY2FYRkpnZUxRQ0JJMTQ1WUpFUTlq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